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5F183" w14:textId="77777777" w:rsidR="005F0119" w:rsidRDefault="007B4A21" w:rsidP="00D01059">
      <w:pPr>
        <w:pStyle w:val="CRCoverPage"/>
        <w:tabs>
          <w:tab w:val="right" w:pos="9639"/>
        </w:tabs>
        <w:rPr>
          <w:b/>
          <w:noProof/>
          <w:sz w:val="28"/>
        </w:rPr>
      </w:pPr>
      <w:r w:rsidRPr="007B4A21">
        <w:rPr>
          <w:rFonts w:cs="Arial"/>
          <w:b/>
          <w:bCs/>
          <w:sz w:val="24"/>
        </w:rPr>
        <w:t>3GPP TSG RAN WG1 #104-e</w:t>
      </w:r>
      <w:r w:rsidR="00D01059" w:rsidRPr="007B4A21">
        <w:rPr>
          <w:b/>
          <w:noProof/>
          <w:sz w:val="28"/>
        </w:rPr>
        <w:t xml:space="preserve">                                                   </w:t>
      </w:r>
      <w:r w:rsidRPr="007B4A21">
        <w:rPr>
          <w:b/>
          <w:noProof/>
          <w:sz w:val="28"/>
        </w:rPr>
        <w:tab/>
      </w:r>
      <w:r w:rsidR="005F0119" w:rsidRPr="005F0119">
        <w:rPr>
          <w:rFonts w:cs="Arial"/>
          <w:b/>
          <w:bCs/>
          <w:sz w:val="24"/>
        </w:rPr>
        <w:t>R1-2101339</w:t>
      </w:r>
    </w:p>
    <w:p w14:paraId="0F4BD9FC" w14:textId="77777777" w:rsidR="007B4A21" w:rsidRPr="007B4A21" w:rsidRDefault="007B4A21" w:rsidP="007B4A21">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7532909A" w14:textId="77777777" w:rsidR="00B23EB7" w:rsidRPr="00BD6E52" w:rsidRDefault="00B23EB7" w:rsidP="00B23EB7">
      <w:pPr>
        <w:tabs>
          <w:tab w:val="center" w:pos="4536"/>
          <w:tab w:val="right" w:pos="9072"/>
        </w:tabs>
        <w:rPr>
          <w:rFonts w:ascii="Arial" w:eastAsia="MS Mincho" w:hAnsi="Arial" w:cs="Arial"/>
          <w:b/>
          <w:bCs/>
          <w:lang w:eastAsia="ja-JP"/>
        </w:rPr>
      </w:pPr>
    </w:p>
    <w:p w14:paraId="2FE24820" w14:textId="379A3870"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B40C79">
        <w:rPr>
          <w:sz w:val="22"/>
          <w:szCs w:val="22"/>
        </w:rPr>
        <w:t>1</w:t>
      </w:r>
      <w:bookmarkStart w:id="0" w:name="_GoBack"/>
      <w:bookmarkEnd w:id="0"/>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632B8EB" w14:textId="77777777" w:rsidR="00210AA4" w:rsidRDefault="00B23EB7" w:rsidP="00B23EB7">
      <w:pPr>
        <w:pStyle w:val="3GPPHeader"/>
        <w:rPr>
          <w:sz w:val="22"/>
          <w:szCs w:val="22"/>
        </w:rPr>
      </w:pPr>
      <w:r w:rsidRPr="00315C6E">
        <w:rPr>
          <w:sz w:val="22"/>
          <w:szCs w:val="22"/>
        </w:rPr>
        <w:t>Title:</w:t>
      </w:r>
      <w:r w:rsidRPr="00315C6E">
        <w:rPr>
          <w:sz w:val="22"/>
          <w:szCs w:val="22"/>
        </w:rPr>
        <w:tab/>
      </w:r>
      <w:r w:rsidR="00210AA4" w:rsidRPr="00210AA4">
        <w:rPr>
          <w:sz w:val="22"/>
          <w:szCs w:val="22"/>
        </w:rPr>
        <w:t>Clarification of FG3-5b with Cross Carrier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E16184E" w14:textId="4254684C" w:rsidR="00A03156" w:rsidRDefault="00A03156" w:rsidP="00A93DEE">
      <w:pPr>
        <w:pStyle w:val="0Maintext"/>
        <w:spacing w:after="120" w:afterAutospacing="0" w:line="240" w:lineRule="auto"/>
        <w:ind w:firstLine="0"/>
        <w:rPr>
          <w:lang w:val="en-US"/>
        </w:rPr>
      </w:pPr>
      <w:r>
        <w:rPr>
          <w:lang w:val="en-US"/>
        </w:rPr>
        <w:t>In both Rel-15 and Rel-16, some UE capabilit</w:t>
      </w:r>
      <w:r w:rsidR="002B3FC0">
        <w:rPr>
          <w:lang w:val="en-US"/>
        </w:rPr>
        <w:t>ies</w:t>
      </w:r>
      <w:r>
        <w:rPr>
          <w:lang w:val="en-US"/>
        </w:rPr>
        <w:t xml:space="preserve"> </w:t>
      </w:r>
      <w:r w:rsidR="002B3FC0">
        <w:rPr>
          <w:lang w:val="en-US"/>
        </w:rPr>
        <w:t>are</w:t>
      </w:r>
      <w:r>
        <w:rPr>
          <w:lang w:val="en-US"/>
        </w:rPr>
        <w:t xml:space="preserve"> designed to be per band, with the reporting type being either per band or per FS (per band per BC). Furthermore, Cross Carrier Scheduling (CCS) with the same numerology is supported in Rel-15 NR, and CCS with different numerology is additionally supported in Rel-16. It is a remaining issue on how to interpret the UE capability when it is per band resolution with CCS operation. For example, </w:t>
      </w:r>
      <w:r w:rsidR="00652232">
        <w:rPr>
          <w:lang w:val="en-US"/>
        </w:rPr>
        <w:t xml:space="preserve">for a per FS UE capability, </w:t>
      </w:r>
      <w:r>
        <w:rPr>
          <w:lang w:val="en-US"/>
        </w:rPr>
        <w:t xml:space="preserve">when UE reports that </w:t>
      </w:r>
      <w:r w:rsidR="00A35966">
        <w:rPr>
          <w:lang w:val="en-US"/>
        </w:rPr>
        <w:t>it</w:t>
      </w:r>
      <w:r>
        <w:rPr>
          <w:lang w:val="en-US"/>
        </w:rPr>
        <w:t xml:space="preserve"> supports </w:t>
      </w:r>
      <w:r w:rsidR="000B6871">
        <w:rPr>
          <w:lang w:val="en-US"/>
        </w:rPr>
        <w:t>the</w:t>
      </w:r>
      <w:r>
        <w:rPr>
          <w:lang w:val="en-US"/>
        </w:rPr>
        <w:t xml:space="preserve"> feature in Band A but does not support </w:t>
      </w:r>
      <w:r w:rsidR="00E13D53">
        <w:rPr>
          <w:lang w:val="en-US"/>
        </w:rPr>
        <w:t>the</w:t>
      </w:r>
      <w:r>
        <w:rPr>
          <w:lang w:val="en-US"/>
        </w:rPr>
        <w:t xml:space="preserve"> feature in Band B, if UE supports and is configured with CCS between a CC in Band A and a CC in Band B, how do we interpret whether UE supports </w:t>
      </w:r>
      <w:r w:rsidR="00AC5AD1">
        <w:rPr>
          <w:lang w:val="en-US"/>
        </w:rPr>
        <w:t>the</w:t>
      </w:r>
      <w:r>
        <w:rPr>
          <w:lang w:val="en-US"/>
        </w:rPr>
        <w:t xml:space="preserve"> feature. </w:t>
      </w:r>
    </w:p>
    <w:p w14:paraId="56EAF198" w14:textId="119C5647" w:rsidR="00DE6D7A" w:rsidRPr="00DE6D7A" w:rsidRDefault="00DE6D7A" w:rsidP="00DE6D7A">
      <w:pPr>
        <w:pStyle w:val="0Maintext"/>
        <w:spacing w:after="120" w:afterAutospacing="0" w:line="240" w:lineRule="auto"/>
        <w:ind w:firstLine="0"/>
        <w:rPr>
          <w:lang w:val="en-US"/>
        </w:rPr>
      </w:pPr>
      <w:r>
        <w:rPr>
          <w:lang w:val="en-US"/>
        </w:rPr>
        <w:t>In RAN#88e meeting</w:t>
      </w:r>
      <w:r w:rsidRPr="00DE6D7A">
        <w:rPr>
          <w:lang w:val="en-US"/>
        </w:rPr>
        <w:t>, the following observation was made.</w:t>
      </w:r>
    </w:p>
    <w:tbl>
      <w:tblPr>
        <w:tblStyle w:val="TableGrid"/>
        <w:tblW w:w="0" w:type="auto"/>
        <w:tblLook w:val="04A0" w:firstRow="1" w:lastRow="0" w:firstColumn="1" w:lastColumn="0" w:noHBand="0" w:noVBand="1"/>
      </w:tblPr>
      <w:tblGrid>
        <w:gridCol w:w="9010"/>
      </w:tblGrid>
      <w:tr w:rsidR="00DE6D7A" w:rsidRPr="00BE7EF7" w14:paraId="594D1C9E" w14:textId="77777777" w:rsidTr="002536DA">
        <w:tc>
          <w:tcPr>
            <w:tcW w:w="9628" w:type="dxa"/>
          </w:tcPr>
          <w:p w14:paraId="0E4337F4" w14:textId="77777777" w:rsidR="00DE6D7A" w:rsidRPr="00DE6D7A" w:rsidRDefault="00DE6D7A" w:rsidP="002536DA">
            <w:pPr>
              <w:rPr>
                <w:sz w:val="20"/>
                <w:szCs w:val="20"/>
              </w:rPr>
            </w:pPr>
            <w:r w:rsidRPr="00DE6D7A">
              <w:rPr>
                <w:sz w:val="20"/>
                <w:szCs w:val="20"/>
              </w:rPr>
              <w:t xml:space="preserve">Observation for FG interpretation in case of cross-carrier operation: </w:t>
            </w:r>
          </w:p>
          <w:p w14:paraId="43C6360D" w14:textId="77777777" w:rsidR="00DE6D7A" w:rsidRPr="00DE6D7A" w:rsidRDefault="00DE6D7A" w:rsidP="00E637B4">
            <w:pPr>
              <w:pStyle w:val="ListParagraph"/>
              <w:numPr>
                <w:ilvl w:val="0"/>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For UE feature related to cross-carrier operation (e.g., cross-carrier scheduling/triggering/indication), the following alternatives can be discussed in case-by-case basis in WGs.</w:t>
            </w:r>
          </w:p>
          <w:p w14:paraId="26146338" w14:textId="77777777" w:rsidR="00DE6D7A" w:rsidRPr="00DE6D7A" w:rsidRDefault="00DE6D7A" w:rsidP="00E637B4">
            <w:pPr>
              <w:pStyle w:val="ListParagraph"/>
              <w:numPr>
                <w:ilvl w:val="1"/>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Alt.1: the support of this feature for both scheduling/triggering/indicating cell and scheduled/triggered/indicated cell.</w:t>
            </w:r>
          </w:p>
          <w:p w14:paraId="772F34A8" w14:textId="77777777" w:rsidR="00DE6D7A" w:rsidRPr="00DE6D7A" w:rsidRDefault="00DE6D7A" w:rsidP="00E637B4">
            <w:pPr>
              <w:pStyle w:val="ListParagraph"/>
              <w:numPr>
                <w:ilvl w:val="1"/>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Alt.2: the support of this feature for the scheduling/triggering/indicating cell only.</w:t>
            </w:r>
          </w:p>
          <w:p w14:paraId="6903FEA6" w14:textId="77777777" w:rsidR="00DE6D7A" w:rsidRPr="00BE7EF7" w:rsidRDefault="00DE6D7A" w:rsidP="00E637B4">
            <w:pPr>
              <w:pStyle w:val="ListParagraph"/>
              <w:numPr>
                <w:ilvl w:val="1"/>
                <w:numId w:val="3"/>
              </w:numPr>
              <w:spacing w:before="120" w:afterLines="50" w:after="120" w:line="280" w:lineRule="atLeast"/>
              <w:ind w:leftChars="0"/>
              <w:jc w:val="both"/>
              <w:rPr>
                <w:rFonts w:ascii="Times New Roman" w:hAnsi="Times New Roman"/>
              </w:rPr>
            </w:pPr>
            <w:r w:rsidRPr="00DE6D7A">
              <w:rPr>
                <w:rFonts w:ascii="Times New Roman" w:hAnsi="Times New Roman"/>
                <w:szCs w:val="20"/>
              </w:rPr>
              <w:t>Alt.3: the support of this feature for the scheduled/triggered/indicated cell only.</w:t>
            </w:r>
          </w:p>
        </w:tc>
      </w:tr>
    </w:tbl>
    <w:p w14:paraId="3F85300F" w14:textId="77777777" w:rsidR="00A03156" w:rsidRDefault="00A03156" w:rsidP="00A93DEE">
      <w:pPr>
        <w:pStyle w:val="0Maintext"/>
        <w:spacing w:after="120" w:afterAutospacing="0" w:line="240" w:lineRule="auto"/>
        <w:ind w:firstLine="0"/>
        <w:rPr>
          <w:lang w:val="en-US"/>
        </w:rPr>
      </w:pPr>
    </w:p>
    <w:p w14:paraId="094E607A" w14:textId="3DFB9D1C" w:rsidR="00DE6D7A" w:rsidRDefault="00DE6D7A" w:rsidP="00A93DEE">
      <w:pPr>
        <w:pStyle w:val="0Maintext"/>
        <w:spacing w:after="120" w:afterAutospacing="0" w:line="240" w:lineRule="auto"/>
        <w:ind w:firstLine="0"/>
        <w:rPr>
          <w:lang w:val="en-US"/>
        </w:rPr>
      </w:pPr>
      <w:r>
        <w:rPr>
          <w:lang w:val="en-US"/>
        </w:rPr>
        <w:t>Furthermore, in RAN#89e meeting</w:t>
      </w:r>
      <w:r w:rsidR="00CD50C8">
        <w:rPr>
          <w:lang w:val="en-US"/>
        </w:rPr>
        <w:t xml:space="preserve"> [2]</w:t>
      </w:r>
      <w:r w:rsidR="009D11F1">
        <w:rPr>
          <w:lang w:val="en-US"/>
        </w:rPr>
        <w:t>, the decision is to discuss the related issues in RAN1</w:t>
      </w:r>
    </w:p>
    <w:tbl>
      <w:tblPr>
        <w:tblStyle w:val="TableGrid"/>
        <w:tblW w:w="0" w:type="auto"/>
        <w:tblLook w:val="04A0" w:firstRow="1" w:lastRow="0" w:firstColumn="1" w:lastColumn="0" w:noHBand="0" w:noVBand="1"/>
      </w:tblPr>
      <w:tblGrid>
        <w:gridCol w:w="9010"/>
      </w:tblGrid>
      <w:tr w:rsidR="009D11F1" w14:paraId="4FA5FB11" w14:textId="77777777" w:rsidTr="009D11F1">
        <w:tc>
          <w:tcPr>
            <w:tcW w:w="9010" w:type="dxa"/>
          </w:tcPr>
          <w:p w14:paraId="3BC14968" w14:textId="77777777" w:rsidR="009D11F1" w:rsidRPr="009D11F1" w:rsidRDefault="009D11F1" w:rsidP="009D11F1">
            <w:pPr>
              <w:rPr>
                <w:color w:val="000000"/>
                <w:sz w:val="20"/>
                <w:szCs w:val="20"/>
              </w:rPr>
            </w:pPr>
            <w:r w:rsidRPr="009D11F1">
              <w:rPr>
                <w:color w:val="000000"/>
                <w:sz w:val="20"/>
                <w:szCs w:val="20"/>
                <w:lang w:val="en-GB"/>
              </w:rPr>
              <w:t>Regarding RP-201768 the following conclusion is made (copied from section 3.3)</w:t>
            </w:r>
          </w:p>
          <w:p w14:paraId="0129F4B3" w14:textId="77777777" w:rsidR="009D11F1" w:rsidRPr="009D11F1" w:rsidRDefault="009D11F1" w:rsidP="009D11F1">
            <w:pPr>
              <w:rPr>
                <w:color w:val="000000"/>
                <w:sz w:val="20"/>
                <w:szCs w:val="20"/>
              </w:rPr>
            </w:pPr>
            <w:r w:rsidRPr="009D11F1">
              <w:rPr>
                <w:color w:val="000000"/>
                <w:sz w:val="20"/>
                <w:szCs w:val="20"/>
                <w:lang w:val="en-GB"/>
              </w:rPr>
              <w:t> </w:t>
            </w:r>
          </w:p>
          <w:p w14:paraId="47ACEA51" w14:textId="39749660" w:rsidR="009D11F1" w:rsidRPr="009D11F1" w:rsidRDefault="009D11F1" w:rsidP="009D11F1">
            <w:pPr>
              <w:ind w:left="284"/>
              <w:rPr>
                <w:rFonts w:ascii="Calibri" w:hAnsi="Calibri" w:cs="Calibri"/>
                <w:color w:val="000000"/>
                <w:sz w:val="22"/>
                <w:szCs w:val="22"/>
              </w:rPr>
            </w:pPr>
            <w:r w:rsidRPr="009D11F1">
              <w:rPr>
                <w:b/>
                <w:bCs/>
                <w:color w:val="000000"/>
                <w:sz w:val="20"/>
                <w:szCs w:val="20"/>
                <w:lang w:val="en-GB"/>
              </w:rPr>
              <w:t>Moderator conclusion</w:t>
            </w:r>
            <w:r w:rsidRPr="009D11F1">
              <w:rPr>
                <w:color w:val="000000"/>
                <w:sz w:val="20"/>
                <w:szCs w:val="20"/>
                <w:lang w:val="en-GB"/>
              </w:rPr>
              <w:t>: The discussion of this topic should take place within RAN1. No further discussion will take place in RAN#89e.</w:t>
            </w:r>
          </w:p>
        </w:tc>
      </w:tr>
    </w:tbl>
    <w:p w14:paraId="579AF035" w14:textId="77777777" w:rsidR="009D11F1" w:rsidRDefault="009D11F1" w:rsidP="00A93DEE">
      <w:pPr>
        <w:pStyle w:val="0Maintext"/>
        <w:spacing w:after="120" w:afterAutospacing="0" w:line="240" w:lineRule="auto"/>
        <w:ind w:firstLine="0"/>
        <w:rPr>
          <w:lang w:val="en-US"/>
        </w:rPr>
      </w:pPr>
    </w:p>
    <w:p w14:paraId="6FCF9F7A" w14:textId="77777777" w:rsidR="009907C1" w:rsidRDefault="009907C1" w:rsidP="005124D6">
      <w:pPr>
        <w:pStyle w:val="0Maintext"/>
        <w:spacing w:after="120" w:afterAutospacing="0" w:line="240" w:lineRule="auto"/>
        <w:ind w:firstLine="0"/>
      </w:pPr>
      <w:r>
        <w:t>In this contribution, we discuss the clarification of FG3-5b with cross carrier operation</w:t>
      </w:r>
    </w:p>
    <w:p w14:paraId="793B3155" w14:textId="38A7867C" w:rsidR="00A04FD8" w:rsidRPr="00A04FD8" w:rsidRDefault="00FC2DD7" w:rsidP="00A04FD8">
      <w:pPr>
        <w:pStyle w:val="Heading1"/>
      </w:pPr>
      <w:r>
        <w:t>FG3-5b with cross carrier operation</w:t>
      </w:r>
      <w:r w:rsidRPr="00A04FD8">
        <w:t xml:space="preserve"> </w:t>
      </w:r>
    </w:p>
    <w:p w14:paraId="5173BA00" w14:textId="0D8E8C88" w:rsidR="00E72512" w:rsidRDefault="00E72512" w:rsidP="0010375D">
      <w:pPr>
        <w:pStyle w:val="0Maintext"/>
        <w:spacing w:after="120" w:afterAutospacing="0" w:line="240" w:lineRule="auto"/>
        <w:ind w:firstLine="0"/>
        <w:rPr>
          <w:lang w:val="en-US"/>
        </w:rPr>
      </w:pPr>
      <w:r>
        <w:rPr>
          <w:lang w:val="en-US"/>
        </w:rPr>
        <w:t xml:space="preserve">In Rel-15, </w:t>
      </w:r>
      <w:r w:rsidR="004F4160">
        <w:rPr>
          <w:lang w:val="en-US"/>
        </w:rPr>
        <w:t xml:space="preserve">the </w:t>
      </w:r>
      <w:r w:rsidR="000E41AF">
        <w:rPr>
          <w:lang w:val="en-US"/>
        </w:rPr>
        <w:t xml:space="preserve">capability related to </w:t>
      </w:r>
      <w:r>
        <w:rPr>
          <w:lang w:val="en-US"/>
        </w:rPr>
        <w:t>advanced spanned</w:t>
      </w:r>
      <w:r w:rsidR="00EB0E48">
        <w:rPr>
          <w:lang w:val="en-US"/>
        </w:rPr>
        <w:t>-</w:t>
      </w:r>
      <w:r>
        <w:rPr>
          <w:lang w:val="en-US"/>
        </w:rPr>
        <w:t xml:space="preserve">based PDCCH monitoring, i.e., FG3-5b </w:t>
      </w:r>
      <w:r w:rsidRPr="00E72512">
        <w:rPr>
          <w:lang w:val="en-US"/>
        </w:rPr>
        <w:t>pdcch-MonitoringAnyOccasionsWithSpanGap</w:t>
      </w:r>
      <w:r w:rsidR="00E11771">
        <w:rPr>
          <w:lang w:val="en-US"/>
        </w:rPr>
        <w:t>,</w:t>
      </w:r>
      <w:r w:rsidRPr="00E72512">
        <w:rPr>
          <w:lang w:val="en-US"/>
        </w:rPr>
        <w:t xml:space="preserve"> </w:t>
      </w:r>
      <w:r>
        <w:rPr>
          <w:lang w:val="en-US"/>
        </w:rPr>
        <w:t xml:space="preserve">is designed to be per FS (per band per BC). </w:t>
      </w:r>
    </w:p>
    <w:p w14:paraId="1F572C1C" w14:textId="5FBD9FC5" w:rsidR="004F79A5" w:rsidRDefault="00E72512" w:rsidP="0010375D">
      <w:pPr>
        <w:pStyle w:val="0Maintext"/>
        <w:spacing w:after="120" w:afterAutospacing="0" w:line="240" w:lineRule="auto"/>
        <w:ind w:firstLine="0"/>
        <w:rPr>
          <w:lang w:val="en-US"/>
        </w:rPr>
      </w:pPr>
      <w:r>
        <w:rPr>
          <w:lang w:val="en-US"/>
        </w:rPr>
        <w:t xml:space="preserve">In Rel-16, </w:t>
      </w:r>
      <w:r w:rsidR="000E41AF">
        <w:rPr>
          <w:lang w:val="en-US"/>
        </w:rPr>
        <w:t xml:space="preserve">capability related to </w:t>
      </w:r>
      <w:r>
        <w:rPr>
          <w:lang w:val="en-US"/>
        </w:rPr>
        <w:t>Cross Carrier Scheduling (CCS) with different SCS is de</w:t>
      </w:r>
      <w:r w:rsidR="004F79A5">
        <w:rPr>
          <w:lang w:val="en-US"/>
        </w:rPr>
        <w:t>sign</w:t>
      </w:r>
      <w:r w:rsidR="00961000">
        <w:rPr>
          <w:lang w:val="en-US"/>
        </w:rPr>
        <w:t>ed</w:t>
      </w:r>
      <w:r w:rsidR="004F79A5">
        <w:rPr>
          <w:lang w:val="en-US"/>
        </w:rPr>
        <w:t xml:space="preserve"> separately for PDSCH (FG18-5), PUSCH(FG18-5b) and AP-CSI-RS (FG1</w:t>
      </w:r>
      <w:r w:rsidR="00B74F73">
        <w:rPr>
          <w:lang w:val="en-US"/>
        </w:rPr>
        <w:t>8</w:t>
      </w:r>
      <w:r w:rsidR="004F79A5">
        <w:rPr>
          <w:lang w:val="en-US"/>
        </w:rPr>
        <w:t>-6) and agreed to be per BC.</w:t>
      </w:r>
    </w:p>
    <w:p w14:paraId="1D82489A" w14:textId="77777777" w:rsidR="00B74F73" w:rsidRDefault="00B74F73" w:rsidP="00E637B4">
      <w:pPr>
        <w:pStyle w:val="0Maintext"/>
        <w:numPr>
          <w:ilvl w:val="0"/>
          <w:numId w:val="5"/>
        </w:numPr>
        <w:spacing w:after="120" w:afterAutospacing="0" w:line="240" w:lineRule="auto"/>
        <w:rPr>
          <w:lang w:val="en-US"/>
        </w:rPr>
      </w:pPr>
      <w:r>
        <w:rPr>
          <w:lang w:val="en-US"/>
        </w:rPr>
        <w:t xml:space="preserve">Support of FG3-5b can reduce the scheduling latency </w:t>
      </w:r>
    </w:p>
    <w:p w14:paraId="541639CB" w14:textId="77234B5E" w:rsidR="00B74F73" w:rsidRDefault="00B74F73" w:rsidP="00E637B4">
      <w:pPr>
        <w:pStyle w:val="0Maintext"/>
        <w:numPr>
          <w:ilvl w:val="0"/>
          <w:numId w:val="5"/>
        </w:numPr>
        <w:spacing w:after="120" w:afterAutospacing="0" w:line="240" w:lineRule="auto"/>
        <w:rPr>
          <w:lang w:val="en-US"/>
        </w:rPr>
      </w:pPr>
      <w:r>
        <w:rPr>
          <w:lang w:val="en-US"/>
        </w:rPr>
        <w:t>Support of FG18-5, FG18-5b and FG18</w:t>
      </w:r>
      <w:r w:rsidR="00410091">
        <w:rPr>
          <w:lang w:val="en-US"/>
        </w:rPr>
        <w:t>-</w:t>
      </w:r>
      <w:r>
        <w:rPr>
          <w:lang w:val="en-US"/>
        </w:rPr>
        <w:t>6 can benefit the UE power saving and the control channel reliability especially for FR2.</w:t>
      </w:r>
    </w:p>
    <w:p w14:paraId="3DA1E846" w14:textId="6F0DC75D" w:rsidR="00B74F73" w:rsidRDefault="00B74F73" w:rsidP="00B74F73">
      <w:pPr>
        <w:pStyle w:val="0Maintext"/>
        <w:spacing w:after="120" w:afterAutospacing="0" w:line="240" w:lineRule="auto"/>
        <w:ind w:firstLine="0"/>
        <w:rPr>
          <w:lang w:val="en-US"/>
        </w:rPr>
      </w:pPr>
      <w:r>
        <w:rPr>
          <w:lang w:val="en-US"/>
        </w:rPr>
        <w:t>Using a 3 band, FR1 + FR2, deployment with 3 SCS as an example, namely</w:t>
      </w:r>
    </w:p>
    <w:p w14:paraId="0FBC5524" w14:textId="64B13E98" w:rsidR="00B74F73" w:rsidRDefault="00B74F73" w:rsidP="00E637B4">
      <w:pPr>
        <w:pStyle w:val="0Maintext"/>
        <w:numPr>
          <w:ilvl w:val="0"/>
          <w:numId w:val="6"/>
        </w:numPr>
        <w:spacing w:after="120" w:afterAutospacing="0" w:line="240" w:lineRule="auto"/>
        <w:rPr>
          <w:lang w:val="en-US"/>
        </w:rPr>
      </w:pPr>
      <w:r>
        <w:rPr>
          <w:lang w:val="en-US"/>
        </w:rPr>
        <w:lastRenderedPageBreak/>
        <w:t>Sub-1GHz FR1 NR FDD band with 15kHz SCS</w:t>
      </w:r>
    </w:p>
    <w:p w14:paraId="3BCC4A3C" w14:textId="25E87E3E" w:rsidR="00B74F73" w:rsidRDefault="00B74F73" w:rsidP="00E637B4">
      <w:pPr>
        <w:pStyle w:val="0Maintext"/>
        <w:numPr>
          <w:ilvl w:val="0"/>
          <w:numId w:val="6"/>
        </w:numPr>
        <w:spacing w:after="120" w:afterAutospacing="0" w:line="240" w:lineRule="auto"/>
        <w:rPr>
          <w:lang w:val="en-US"/>
        </w:rPr>
      </w:pPr>
      <w:r>
        <w:rPr>
          <w:lang w:val="en-US"/>
        </w:rPr>
        <w:t xml:space="preserve">~3GHz FR1 NR TDD band with 30KHz </w:t>
      </w:r>
      <w:r w:rsidR="00405BF8">
        <w:rPr>
          <w:lang w:val="en-US"/>
        </w:rPr>
        <w:t>SCS</w:t>
      </w:r>
    </w:p>
    <w:p w14:paraId="6ACC93ED" w14:textId="033B957D" w:rsidR="00B74F73" w:rsidRDefault="00B74F73" w:rsidP="00E637B4">
      <w:pPr>
        <w:pStyle w:val="0Maintext"/>
        <w:numPr>
          <w:ilvl w:val="0"/>
          <w:numId w:val="6"/>
        </w:numPr>
        <w:spacing w:after="120" w:afterAutospacing="0" w:line="240" w:lineRule="auto"/>
        <w:rPr>
          <w:lang w:val="en-US"/>
        </w:rPr>
      </w:pPr>
      <w:r>
        <w:rPr>
          <w:lang w:val="en-US"/>
        </w:rPr>
        <w:t>FR2</w:t>
      </w:r>
      <w:r w:rsidR="00405BF8">
        <w:rPr>
          <w:lang w:val="en-US"/>
        </w:rPr>
        <w:t xml:space="preserve"> </w:t>
      </w:r>
      <w:r>
        <w:rPr>
          <w:lang w:val="en-US"/>
        </w:rPr>
        <w:t>NR TDD band with 120KHz</w:t>
      </w:r>
      <w:r w:rsidR="00405BF8">
        <w:rPr>
          <w:lang w:val="en-US"/>
        </w:rPr>
        <w:t xml:space="preserve"> SCS</w:t>
      </w:r>
    </w:p>
    <w:p w14:paraId="604F155E" w14:textId="0EC0999C" w:rsidR="00B74F73" w:rsidRDefault="00B74F73" w:rsidP="00B74F73">
      <w:pPr>
        <w:pStyle w:val="0Maintext"/>
        <w:spacing w:after="120" w:afterAutospacing="0" w:line="240" w:lineRule="auto"/>
        <w:ind w:firstLine="0"/>
        <w:rPr>
          <w:lang w:val="en-US"/>
        </w:rPr>
      </w:pPr>
      <w:r>
        <w:rPr>
          <w:lang w:val="en-US"/>
        </w:rPr>
        <w:t>One of the reasonable UE implementation is that UE supports CCS with different SCS, i.e., “</w:t>
      </w:r>
      <w:r w:rsidRPr="00B74F73">
        <w:rPr>
          <w:lang w:val="en-US"/>
        </w:rPr>
        <w:t>Scheduling cell of lower SCS and scheduled cell of higher SC</w:t>
      </w:r>
      <w:r>
        <w:rPr>
          <w:lang w:val="en-US"/>
        </w:rPr>
        <w:t>” in the corresponding BC, but</w:t>
      </w:r>
    </w:p>
    <w:p w14:paraId="725B94BE" w14:textId="77777777" w:rsidR="00B74F73" w:rsidRDefault="00B74F73" w:rsidP="00E637B4">
      <w:pPr>
        <w:pStyle w:val="0Maintext"/>
        <w:numPr>
          <w:ilvl w:val="0"/>
          <w:numId w:val="7"/>
        </w:numPr>
        <w:spacing w:after="120" w:afterAutospacing="0" w:line="240" w:lineRule="auto"/>
        <w:rPr>
          <w:lang w:val="en-US"/>
        </w:rPr>
      </w:pPr>
      <w:r>
        <w:rPr>
          <w:lang w:val="en-US"/>
        </w:rPr>
        <w:t>UE only supports FG3-5b for FR1 scheduling FR1</w:t>
      </w:r>
    </w:p>
    <w:p w14:paraId="13193165" w14:textId="3C145632" w:rsidR="00B74F73" w:rsidRDefault="00B74F73" w:rsidP="00E637B4">
      <w:pPr>
        <w:pStyle w:val="0Maintext"/>
        <w:numPr>
          <w:ilvl w:val="0"/>
          <w:numId w:val="7"/>
        </w:numPr>
        <w:spacing w:after="120" w:afterAutospacing="0" w:line="240" w:lineRule="auto"/>
        <w:rPr>
          <w:lang w:val="en-US"/>
        </w:rPr>
      </w:pPr>
      <w:r>
        <w:rPr>
          <w:lang w:val="en-US"/>
        </w:rPr>
        <w:t>UE does not support FG3-5b for FR1 scheduling FR2</w:t>
      </w:r>
    </w:p>
    <w:p w14:paraId="733B8404" w14:textId="55B4CAD1" w:rsidR="00036108" w:rsidRDefault="00036108" w:rsidP="00036108">
      <w:pPr>
        <w:pStyle w:val="0Maintext"/>
        <w:spacing w:after="120" w:afterAutospacing="0" w:line="240" w:lineRule="auto"/>
        <w:ind w:firstLine="0"/>
        <w:rPr>
          <w:lang w:val="en-US"/>
        </w:rPr>
      </w:pPr>
      <w:r>
        <w:rPr>
          <w:lang w:val="en-US"/>
        </w:rPr>
        <w:t xml:space="preserve">As of now, it is unclear whether this capability is allowed by the specification or not, depending on the interpretation of per FS FG3-5b, under the context of CCS. To resolve this issue, we propose to interpret FG3-5b based on the </w:t>
      </w:r>
      <w:r w:rsidRPr="00DE6D7A">
        <w:t>support of this feature for both scheduling/triggering/indicating cell and scheduled/triggered/indicated cell</w:t>
      </w:r>
    </w:p>
    <w:p w14:paraId="020304B7" w14:textId="2FD6488B" w:rsidR="00A058A0" w:rsidRPr="003F6216" w:rsidRDefault="00A058A0" w:rsidP="00A058A0">
      <w:pPr>
        <w:pStyle w:val="0Maintext"/>
        <w:spacing w:after="120" w:afterAutospacing="0" w:line="240" w:lineRule="auto"/>
        <w:ind w:firstLine="0"/>
        <w:rPr>
          <w:b/>
          <w:i/>
        </w:rPr>
      </w:pPr>
      <w:r w:rsidRPr="003F6216">
        <w:rPr>
          <w:b/>
          <w:bCs/>
          <w:i/>
          <w:iCs/>
          <w:lang w:val="en-US" w:eastAsia="zh-CN"/>
        </w:rPr>
        <w:t xml:space="preserve">Proposal 1: </w:t>
      </w:r>
      <w:r w:rsidR="00036108" w:rsidRPr="003F6216">
        <w:rPr>
          <w:b/>
          <w:bCs/>
          <w:i/>
          <w:iCs/>
          <w:lang w:val="en-US" w:eastAsia="zh-CN"/>
        </w:rPr>
        <w:t xml:space="preserve">Clarify that the support of the following feature is </w:t>
      </w:r>
      <w:r w:rsidR="00036108" w:rsidRPr="003F6216">
        <w:rPr>
          <w:b/>
          <w:i/>
          <w:lang w:val="en-US"/>
        </w:rPr>
        <w:t xml:space="preserve">based on the </w:t>
      </w:r>
      <w:r w:rsidR="00036108" w:rsidRPr="003F6216">
        <w:rPr>
          <w:b/>
          <w:i/>
        </w:rPr>
        <w:t>support of this feature for both scheduling/triggering/indicating cell and scheduled/triggered/indicated cell</w:t>
      </w:r>
      <w:r w:rsidR="00863398" w:rsidRPr="003F6216">
        <w:rPr>
          <w:b/>
          <w:i/>
        </w:rPr>
        <w:t>.</w:t>
      </w:r>
    </w:p>
    <w:p w14:paraId="4AA9CD0B" w14:textId="235A0ED9" w:rsidR="003F6216" w:rsidRPr="003F6216" w:rsidRDefault="003F6216" w:rsidP="00E637B4">
      <w:pPr>
        <w:pStyle w:val="0Maintext"/>
        <w:numPr>
          <w:ilvl w:val="0"/>
          <w:numId w:val="8"/>
        </w:numPr>
        <w:spacing w:after="120" w:afterAutospacing="0" w:line="240" w:lineRule="auto"/>
        <w:rPr>
          <w:b/>
          <w:bCs/>
          <w:i/>
          <w:iCs/>
          <w:lang w:val="en-US" w:eastAsia="zh-CN"/>
        </w:rPr>
      </w:pPr>
      <w:r w:rsidRPr="003F6216">
        <w:rPr>
          <w:b/>
          <w:i/>
          <w:lang w:val="en-US"/>
        </w:rPr>
        <w:t>FG3-5b, i.e., pdcch-MonitoringAnyOccasionsWithSpanGap</w:t>
      </w:r>
    </w:p>
    <w:p w14:paraId="022777CA" w14:textId="3130A35F" w:rsidR="00041988" w:rsidRDefault="00C84FE2" w:rsidP="003105DC">
      <w:pPr>
        <w:pStyle w:val="Heading1"/>
      </w:pPr>
      <w:r>
        <w:t>Conclusion</w:t>
      </w:r>
    </w:p>
    <w:p w14:paraId="547ADF3B" w14:textId="3226BF52" w:rsidR="00E17853" w:rsidRDefault="00C747B6" w:rsidP="00E17853">
      <w:pPr>
        <w:pStyle w:val="0Maintext"/>
        <w:spacing w:after="120" w:afterAutospacing="0" w:line="240" w:lineRule="auto"/>
        <w:ind w:firstLine="0"/>
        <w:rPr>
          <w:lang w:val="en-US"/>
        </w:rPr>
      </w:pPr>
      <w:r>
        <w:rPr>
          <w:lang w:val="en-US"/>
        </w:rPr>
        <w:t xml:space="preserve">In both Rel-15 and Rel-16, some UE </w:t>
      </w:r>
      <w:r w:rsidR="002B3FC0">
        <w:rPr>
          <w:lang w:val="en-US"/>
        </w:rPr>
        <w:t>capabilities are</w:t>
      </w:r>
      <w:r>
        <w:rPr>
          <w:lang w:val="en-US"/>
        </w:rPr>
        <w:t xml:space="preserve"> designed to be per band, with the reporting type being either per band or per FS (per band per BC). Furthermore, Cross Carrier Scheduling (CCS) with the same numerology is supported in Rel-15 NR, and CCS with different numerology is additionally supported in Rel-16. It is a remaining issue on how to interpret the UE capability when it is per band resolution with CCS operation. </w:t>
      </w:r>
    </w:p>
    <w:p w14:paraId="1A544553" w14:textId="0D27C041" w:rsidR="00E17853" w:rsidRPr="00E17853" w:rsidRDefault="00E17853" w:rsidP="00E17853">
      <w:pPr>
        <w:pStyle w:val="0Maintext"/>
        <w:spacing w:after="120" w:afterAutospacing="0" w:line="240" w:lineRule="auto"/>
        <w:ind w:firstLine="0"/>
      </w:pPr>
      <w:r>
        <w:t xml:space="preserve">In this contribution, we discuss the clarification of FG3-5b with cross carrier operation. Our goal is to allow UE to differentiate the support of </w:t>
      </w:r>
      <w:r w:rsidR="001202E6">
        <w:t xml:space="preserve">FG3-5b with </w:t>
      </w:r>
      <w:r>
        <w:t xml:space="preserve">FR1 scheduling FR1 from FR1 scheduling FR2. Therefore, we have the following proposal </w:t>
      </w:r>
    </w:p>
    <w:p w14:paraId="6866D24A" w14:textId="77777777" w:rsidR="00E17853" w:rsidRPr="003F6216" w:rsidRDefault="00E17853" w:rsidP="00E17853">
      <w:pPr>
        <w:pStyle w:val="0Maintext"/>
        <w:spacing w:after="120" w:afterAutospacing="0" w:line="240" w:lineRule="auto"/>
        <w:ind w:firstLine="0"/>
        <w:rPr>
          <w:b/>
          <w:i/>
        </w:rPr>
      </w:pPr>
      <w:r w:rsidRPr="003F6216">
        <w:rPr>
          <w:b/>
          <w:bCs/>
          <w:i/>
          <w:iCs/>
          <w:lang w:val="en-US" w:eastAsia="zh-CN"/>
        </w:rPr>
        <w:t xml:space="preserve">Proposal 1: Clarify that the support of the following feature is </w:t>
      </w:r>
      <w:r w:rsidRPr="003F6216">
        <w:rPr>
          <w:b/>
          <w:i/>
          <w:lang w:val="en-US"/>
        </w:rPr>
        <w:t xml:space="preserve">based on the </w:t>
      </w:r>
      <w:r w:rsidRPr="003F6216">
        <w:rPr>
          <w:b/>
          <w:i/>
        </w:rPr>
        <w:t>support of this feature for both scheduling/triggering/indicating cell and scheduled/triggered/indicated cell.</w:t>
      </w:r>
    </w:p>
    <w:p w14:paraId="4B9E3FE4" w14:textId="77777777" w:rsidR="00E17853" w:rsidRPr="003F6216" w:rsidRDefault="00E17853" w:rsidP="00E637B4">
      <w:pPr>
        <w:pStyle w:val="0Maintext"/>
        <w:numPr>
          <w:ilvl w:val="0"/>
          <w:numId w:val="8"/>
        </w:numPr>
        <w:spacing w:after="120" w:afterAutospacing="0" w:line="240" w:lineRule="auto"/>
        <w:rPr>
          <w:b/>
          <w:bCs/>
          <w:i/>
          <w:iCs/>
          <w:lang w:val="en-US" w:eastAsia="zh-CN"/>
        </w:rPr>
      </w:pPr>
      <w:r w:rsidRPr="003F6216">
        <w:rPr>
          <w:b/>
          <w:i/>
          <w:lang w:val="en-US"/>
        </w:rPr>
        <w:t>FG3-5b, i.e., pdcch-MonitoringAnyOccasionsWithSpanGap</w:t>
      </w:r>
    </w:p>
    <w:p w14:paraId="3760B60B" w14:textId="77777777" w:rsidR="008C712C" w:rsidRDefault="008C712C" w:rsidP="008C712C">
      <w:pPr>
        <w:pStyle w:val="Heading1"/>
      </w:pPr>
      <w:r>
        <w:t>Reference</w:t>
      </w:r>
    </w:p>
    <w:p w14:paraId="48D3502F" w14:textId="76DEDA7A" w:rsidR="002134C9" w:rsidRDefault="00E72B2C" w:rsidP="00E72B2C">
      <w:pPr>
        <w:pStyle w:val="References"/>
        <w:numPr>
          <w:ilvl w:val="0"/>
          <w:numId w:val="0"/>
        </w:numPr>
        <w:ind w:left="360" w:hanging="360"/>
        <w:rPr>
          <w:szCs w:val="20"/>
        </w:rPr>
      </w:pPr>
      <w:bookmarkStart w:id="1" w:name="_Ref44923374"/>
      <w:r>
        <w:rPr>
          <w:lang w:eastAsia="zh-CN"/>
        </w:rPr>
        <w:t xml:space="preserve">[1] </w:t>
      </w:r>
      <w:r w:rsidR="00DE6D7A" w:rsidRPr="00DE6D7A">
        <w:rPr>
          <w:lang w:eastAsia="zh-CN"/>
        </w:rPr>
        <w:t>RP</w:t>
      </w:r>
      <w:r w:rsidR="00DE6D7A" w:rsidRPr="00DE6D7A">
        <w:rPr>
          <w:rFonts w:ascii="Cambria Math" w:hAnsi="Cambria Math" w:cs="Cambria Math"/>
          <w:lang w:eastAsia="zh-CN"/>
        </w:rPr>
        <w:t>‑</w:t>
      </w:r>
      <w:r w:rsidR="00DE6D7A" w:rsidRPr="00DE6D7A">
        <w:rPr>
          <w:lang w:eastAsia="zh-CN"/>
        </w:rPr>
        <w:t>201284, Summary of email discussion [R15_R16_UE_features], NTT DOCOMO, RAN#88e.</w:t>
      </w:r>
      <w:bookmarkEnd w:id="1"/>
      <w:r w:rsidR="00DE6D7A" w:rsidRPr="00DE6D7A">
        <w:rPr>
          <w:szCs w:val="20"/>
        </w:rPr>
        <w:t xml:space="preserve"> </w:t>
      </w:r>
    </w:p>
    <w:p w14:paraId="1938C39E" w14:textId="3EDBBE6B" w:rsidR="00CD50C8" w:rsidRDefault="00E72B2C" w:rsidP="00D0446C">
      <w:pPr>
        <w:pStyle w:val="References"/>
        <w:numPr>
          <w:ilvl w:val="0"/>
          <w:numId w:val="0"/>
        </w:numPr>
        <w:ind w:left="360" w:hanging="360"/>
        <w:rPr>
          <w:rFonts w:ascii="Helvetica Neue" w:eastAsiaTheme="minorEastAsia" w:hAnsi="Helvetica Neue" w:cs="Helvetica Neue"/>
          <w:color w:val="000000"/>
        </w:rPr>
      </w:pPr>
      <w:r>
        <w:rPr>
          <w:lang w:eastAsia="zh-CN"/>
        </w:rPr>
        <w:t>[</w:t>
      </w:r>
      <w:r w:rsidR="00CD50C8">
        <w:rPr>
          <w:lang w:eastAsia="zh-CN"/>
        </w:rPr>
        <w:t>2</w:t>
      </w:r>
      <w:r>
        <w:rPr>
          <w:lang w:eastAsia="zh-CN"/>
        </w:rPr>
        <w:t xml:space="preserve">] </w:t>
      </w:r>
      <w:r w:rsidR="00CD50C8">
        <w:rPr>
          <w:lang w:eastAsia="zh-CN"/>
        </w:rPr>
        <w:t>Chairman Note, “</w:t>
      </w:r>
      <w:r w:rsidR="00CD50C8" w:rsidRPr="00CD50C8">
        <w:rPr>
          <w:lang w:eastAsia="zh-CN"/>
        </w:rPr>
        <w:t>[89E][15][UE_features]”, 3GPP TSG RAN meeting #89e, Sept. 14</w:t>
      </w:r>
      <w:r w:rsidR="00BA382A">
        <w:rPr>
          <w:lang w:eastAsia="zh-CN"/>
        </w:rPr>
        <w:t>-</w:t>
      </w:r>
      <w:r w:rsidR="00CD50C8" w:rsidRPr="00CD50C8">
        <w:rPr>
          <w:lang w:eastAsia="zh-CN"/>
        </w:rPr>
        <w:t>18, 2020</w:t>
      </w:r>
    </w:p>
    <w:p w14:paraId="1F85ADD7" w14:textId="5D775A97" w:rsidR="00E72B2C" w:rsidRPr="00CD50C8" w:rsidRDefault="00E72B2C" w:rsidP="00D0446C">
      <w:pPr>
        <w:pStyle w:val="References"/>
        <w:numPr>
          <w:ilvl w:val="0"/>
          <w:numId w:val="0"/>
        </w:numPr>
        <w:ind w:left="360" w:hanging="360"/>
        <w:rPr>
          <w:szCs w:val="20"/>
        </w:rPr>
      </w:pPr>
    </w:p>
    <w:p w14:paraId="7E37319D" w14:textId="77777777" w:rsidR="00E72B2C" w:rsidRPr="00DE6D7A" w:rsidRDefault="00E72B2C" w:rsidP="00E72B2C">
      <w:pPr>
        <w:pStyle w:val="References"/>
        <w:numPr>
          <w:ilvl w:val="0"/>
          <w:numId w:val="0"/>
        </w:numPr>
        <w:ind w:left="360" w:hanging="360"/>
        <w:rPr>
          <w:szCs w:val="20"/>
        </w:rPr>
      </w:pPr>
    </w:p>
    <w:sectPr w:rsidR="00E72B2C" w:rsidRPr="00DE6D7A" w:rsidSect="00194BBD">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ACF62" w14:textId="77777777" w:rsidR="00E74737" w:rsidRDefault="00E74737" w:rsidP="00DA00A0">
      <w:r>
        <w:separator/>
      </w:r>
    </w:p>
  </w:endnote>
  <w:endnote w:type="continuationSeparator" w:id="0">
    <w:p w14:paraId="5E77EFC1" w14:textId="77777777" w:rsidR="00E74737" w:rsidRDefault="00E74737" w:rsidP="00DA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35388079"/>
      <w:docPartObj>
        <w:docPartGallery w:val="Page Numbers (Bottom of Page)"/>
        <w:docPartUnique/>
      </w:docPartObj>
    </w:sdtPr>
    <w:sdtEndPr>
      <w:rPr>
        <w:rStyle w:val="PageNumber"/>
      </w:rPr>
    </w:sdtEndPr>
    <w:sdtContent>
      <w:p w14:paraId="7CE82EDC" w14:textId="1C2FEF71"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44F6E" w14:textId="77777777" w:rsidR="00DA00A0" w:rsidRDefault="00DA00A0" w:rsidP="00DA0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24190171"/>
      <w:docPartObj>
        <w:docPartGallery w:val="Page Numbers (Bottom of Page)"/>
        <w:docPartUnique/>
      </w:docPartObj>
    </w:sdtPr>
    <w:sdtEndPr>
      <w:rPr>
        <w:rStyle w:val="PageNumber"/>
      </w:rPr>
    </w:sdtEndPr>
    <w:sdtContent>
      <w:p w14:paraId="56457F1F" w14:textId="76187BBF"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1E4816A" w14:textId="77777777" w:rsidR="00DA00A0" w:rsidRDefault="00DA00A0" w:rsidP="00DA0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226DA" w14:textId="77777777" w:rsidR="00E74737" w:rsidRDefault="00E74737" w:rsidP="00DA00A0">
      <w:r>
        <w:separator/>
      </w:r>
    </w:p>
  </w:footnote>
  <w:footnote w:type="continuationSeparator" w:id="0">
    <w:p w14:paraId="69BBB57D" w14:textId="77777777" w:rsidR="00E74737" w:rsidRDefault="00E74737" w:rsidP="00DA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8883BC8"/>
    <w:multiLevelType w:val="hybridMultilevel"/>
    <w:tmpl w:val="544C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8630B8"/>
    <w:multiLevelType w:val="hybridMultilevel"/>
    <w:tmpl w:val="6844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2B0679"/>
    <w:multiLevelType w:val="hybridMultilevel"/>
    <w:tmpl w:val="25B8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A41A2F"/>
    <w:multiLevelType w:val="hybridMultilevel"/>
    <w:tmpl w:val="7442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6"/>
  </w:num>
  <w:num w:numId="6">
    <w:abstractNumId w:val="8"/>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FE0"/>
    <w:rsid w:val="00005D7F"/>
    <w:rsid w:val="00006D27"/>
    <w:rsid w:val="00007041"/>
    <w:rsid w:val="000212EC"/>
    <w:rsid w:val="00023EE6"/>
    <w:rsid w:val="00024CD4"/>
    <w:rsid w:val="00025E6B"/>
    <w:rsid w:val="00026645"/>
    <w:rsid w:val="00031E68"/>
    <w:rsid w:val="000334EC"/>
    <w:rsid w:val="00033D5B"/>
    <w:rsid w:val="00034955"/>
    <w:rsid w:val="00036108"/>
    <w:rsid w:val="00036871"/>
    <w:rsid w:val="00041988"/>
    <w:rsid w:val="00044CC2"/>
    <w:rsid w:val="000461DE"/>
    <w:rsid w:val="000472B8"/>
    <w:rsid w:val="0005018D"/>
    <w:rsid w:val="0005388A"/>
    <w:rsid w:val="000552D5"/>
    <w:rsid w:val="0005612B"/>
    <w:rsid w:val="000605BB"/>
    <w:rsid w:val="00060A48"/>
    <w:rsid w:val="000616D0"/>
    <w:rsid w:val="0006214C"/>
    <w:rsid w:val="0006225E"/>
    <w:rsid w:val="00070C36"/>
    <w:rsid w:val="00073136"/>
    <w:rsid w:val="0007337C"/>
    <w:rsid w:val="00077D8E"/>
    <w:rsid w:val="00082370"/>
    <w:rsid w:val="00084F5E"/>
    <w:rsid w:val="0008797B"/>
    <w:rsid w:val="000926BF"/>
    <w:rsid w:val="0009612B"/>
    <w:rsid w:val="000A0093"/>
    <w:rsid w:val="000A0881"/>
    <w:rsid w:val="000A1890"/>
    <w:rsid w:val="000B1408"/>
    <w:rsid w:val="000B6871"/>
    <w:rsid w:val="000C3D00"/>
    <w:rsid w:val="000D1A8F"/>
    <w:rsid w:val="000E0244"/>
    <w:rsid w:val="000E41AF"/>
    <w:rsid w:val="000F2C70"/>
    <w:rsid w:val="001013A9"/>
    <w:rsid w:val="0010375D"/>
    <w:rsid w:val="00107FB8"/>
    <w:rsid w:val="00111BDE"/>
    <w:rsid w:val="001144DC"/>
    <w:rsid w:val="00114663"/>
    <w:rsid w:val="00116457"/>
    <w:rsid w:val="001202E6"/>
    <w:rsid w:val="00127219"/>
    <w:rsid w:val="00140210"/>
    <w:rsid w:val="00140849"/>
    <w:rsid w:val="00141D2B"/>
    <w:rsid w:val="001454B7"/>
    <w:rsid w:val="00147208"/>
    <w:rsid w:val="0015081A"/>
    <w:rsid w:val="00153773"/>
    <w:rsid w:val="00153FD2"/>
    <w:rsid w:val="001542F9"/>
    <w:rsid w:val="001631DC"/>
    <w:rsid w:val="00164A92"/>
    <w:rsid w:val="00165EE3"/>
    <w:rsid w:val="00167B8F"/>
    <w:rsid w:val="001779C8"/>
    <w:rsid w:val="0018293E"/>
    <w:rsid w:val="0018607A"/>
    <w:rsid w:val="0018680C"/>
    <w:rsid w:val="00187510"/>
    <w:rsid w:val="001920B2"/>
    <w:rsid w:val="00194352"/>
    <w:rsid w:val="00194BBD"/>
    <w:rsid w:val="001B26ED"/>
    <w:rsid w:val="001B2AEE"/>
    <w:rsid w:val="001C3AAE"/>
    <w:rsid w:val="001C6029"/>
    <w:rsid w:val="001C7CAE"/>
    <w:rsid w:val="001D12B4"/>
    <w:rsid w:val="001D5CE5"/>
    <w:rsid w:val="001D749D"/>
    <w:rsid w:val="001E440D"/>
    <w:rsid w:val="001E5D8B"/>
    <w:rsid w:val="001F1032"/>
    <w:rsid w:val="001F14E7"/>
    <w:rsid w:val="001F16B4"/>
    <w:rsid w:val="001F2FF5"/>
    <w:rsid w:val="002000BD"/>
    <w:rsid w:val="00210AA4"/>
    <w:rsid w:val="002134C9"/>
    <w:rsid w:val="00213801"/>
    <w:rsid w:val="00222E2C"/>
    <w:rsid w:val="00224200"/>
    <w:rsid w:val="0024558B"/>
    <w:rsid w:val="002468A4"/>
    <w:rsid w:val="00252B41"/>
    <w:rsid w:val="00260DEE"/>
    <w:rsid w:val="002614AC"/>
    <w:rsid w:val="00266E0F"/>
    <w:rsid w:val="00270999"/>
    <w:rsid w:val="00271D73"/>
    <w:rsid w:val="00273E87"/>
    <w:rsid w:val="00274F27"/>
    <w:rsid w:val="0027584C"/>
    <w:rsid w:val="002805F2"/>
    <w:rsid w:val="002841EC"/>
    <w:rsid w:val="00284AB0"/>
    <w:rsid w:val="00285B13"/>
    <w:rsid w:val="00291A1D"/>
    <w:rsid w:val="002948FF"/>
    <w:rsid w:val="00296FBE"/>
    <w:rsid w:val="002972B7"/>
    <w:rsid w:val="002978D8"/>
    <w:rsid w:val="002A04A9"/>
    <w:rsid w:val="002A274D"/>
    <w:rsid w:val="002A577D"/>
    <w:rsid w:val="002A5B21"/>
    <w:rsid w:val="002B0C46"/>
    <w:rsid w:val="002B162B"/>
    <w:rsid w:val="002B3FC0"/>
    <w:rsid w:val="002B6FC9"/>
    <w:rsid w:val="002B72F3"/>
    <w:rsid w:val="002C4EFD"/>
    <w:rsid w:val="002C57AC"/>
    <w:rsid w:val="002D2B50"/>
    <w:rsid w:val="002D3770"/>
    <w:rsid w:val="002D5845"/>
    <w:rsid w:val="002E27AA"/>
    <w:rsid w:val="002E7927"/>
    <w:rsid w:val="003105DC"/>
    <w:rsid w:val="00310ADF"/>
    <w:rsid w:val="00313ED8"/>
    <w:rsid w:val="00317CFF"/>
    <w:rsid w:val="0032399B"/>
    <w:rsid w:val="00335488"/>
    <w:rsid w:val="0034266A"/>
    <w:rsid w:val="00342CF5"/>
    <w:rsid w:val="0034417B"/>
    <w:rsid w:val="003442EE"/>
    <w:rsid w:val="00345370"/>
    <w:rsid w:val="00351A93"/>
    <w:rsid w:val="0035494F"/>
    <w:rsid w:val="0035662A"/>
    <w:rsid w:val="00356A2B"/>
    <w:rsid w:val="00366F52"/>
    <w:rsid w:val="00375350"/>
    <w:rsid w:val="003A688C"/>
    <w:rsid w:val="003B54E1"/>
    <w:rsid w:val="003C0E4F"/>
    <w:rsid w:val="003E1E35"/>
    <w:rsid w:val="003E452D"/>
    <w:rsid w:val="003E51B8"/>
    <w:rsid w:val="003E5F6E"/>
    <w:rsid w:val="003E6AFD"/>
    <w:rsid w:val="003E75B6"/>
    <w:rsid w:val="003F6216"/>
    <w:rsid w:val="003F670D"/>
    <w:rsid w:val="004056C5"/>
    <w:rsid w:val="00405BF8"/>
    <w:rsid w:val="00406FB8"/>
    <w:rsid w:val="00407B8C"/>
    <w:rsid w:val="00410091"/>
    <w:rsid w:val="00410A67"/>
    <w:rsid w:val="00417FC9"/>
    <w:rsid w:val="00430AB1"/>
    <w:rsid w:val="00431CD3"/>
    <w:rsid w:val="0043338E"/>
    <w:rsid w:val="00435870"/>
    <w:rsid w:val="004414FD"/>
    <w:rsid w:val="00441778"/>
    <w:rsid w:val="0044326F"/>
    <w:rsid w:val="00446818"/>
    <w:rsid w:val="0045346B"/>
    <w:rsid w:val="00461B15"/>
    <w:rsid w:val="00462395"/>
    <w:rsid w:val="004636D3"/>
    <w:rsid w:val="0046420F"/>
    <w:rsid w:val="00465039"/>
    <w:rsid w:val="00474D9C"/>
    <w:rsid w:val="00475C2B"/>
    <w:rsid w:val="00482475"/>
    <w:rsid w:val="00483793"/>
    <w:rsid w:val="004841FF"/>
    <w:rsid w:val="00486075"/>
    <w:rsid w:val="00496D0C"/>
    <w:rsid w:val="004A41EF"/>
    <w:rsid w:val="004B2AB6"/>
    <w:rsid w:val="004B2C35"/>
    <w:rsid w:val="004B3124"/>
    <w:rsid w:val="004B74CC"/>
    <w:rsid w:val="004C2BFA"/>
    <w:rsid w:val="004D3B6B"/>
    <w:rsid w:val="004D4DFC"/>
    <w:rsid w:val="004D7FE6"/>
    <w:rsid w:val="004E03DA"/>
    <w:rsid w:val="004E3D76"/>
    <w:rsid w:val="004E3EAD"/>
    <w:rsid w:val="004F4160"/>
    <w:rsid w:val="004F79A5"/>
    <w:rsid w:val="004F7F00"/>
    <w:rsid w:val="0050410A"/>
    <w:rsid w:val="005124D6"/>
    <w:rsid w:val="005150C5"/>
    <w:rsid w:val="00517ADD"/>
    <w:rsid w:val="00530AB8"/>
    <w:rsid w:val="00535118"/>
    <w:rsid w:val="005363A1"/>
    <w:rsid w:val="0053782C"/>
    <w:rsid w:val="00537F81"/>
    <w:rsid w:val="00550F71"/>
    <w:rsid w:val="00551BD7"/>
    <w:rsid w:val="00552AB1"/>
    <w:rsid w:val="00553DF7"/>
    <w:rsid w:val="00556671"/>
    <w:rsid w:val="00556AC6"/>
    <w:rsid w:val="00556CE5"/>
    <w:rsid w:val="00560F12"/>
    <w:rsid w:val="0056122E"/>
    <w:rsid w:val="005811A6"/>
    <w:rsid w:val="00592861"/>
    <w:rsid w:val="005A508E"/>
    <w:rsid w:val="005A518E"/>
    <w:rsid w:val="005B1AD1"/>
    <w:rsid w:val="005B2C2F"/>
    <w:rsid w:val="005B2FC7"/>
    <w:rsid w:val="005B6997"/>
    <w:rsid w:val="005B6A41"/>
    <w:rsid w:val="005C7988"/>
    <w:rsid w:val="005D1637"/>
    <w:rsid w:val="005D45F7"/>
    <w:rsid w:val="005D57A7"/>
    <w:rsid w:val="005F0119"/>
    <w:rsid w:val="005F5A01"/>
    <w:rsid w:val="005F7A0E"/>
    <w:rsid w:val="006002D4"/>
    <w:rsid w:val="00600EBB"/>
    <w:rsid w:val="00615EB8"/>
    <w:rsid w:val="0061765C"/>
    <w:rsid w:val="006259D9"/>
    <w:rsid w:val="006261FF"/>
    <w:rsid w:val="00626534"/>
    <w:rsid w:val="00631A14"/>
    <w:rsid w:val="00636661"/>
    <w:rsid w:val="00636D7B"/>
    <w:rsid w:val="00652232"/>
    <w:rsid w:val="006531B1"/>
    <w:rsid w:val="006555CC"/>
    <w:rsid w:val="006609BE"/>
    <w:rsid w:val="00661178"/>
    <w:rsid w:val="006619BF"/>
    <w:rsid w:val="00672A8E"/>
    <w:rsid w:val="006816EA"/>
    <w:rsid w:val="00683306"/>
    <w:rsid w:val="006849AB"/>
    <w:rsid w:val="006932F5"/>
    <w:rsid w:val="00694B48"/>
    <w:rsid w:val="006A1A68"/>
    <w:rsid w:val="006A45D6"/>
    <w:rsid w:val="006A5FAF"/>
    <w:rsid w:val="006C6EAB"/>
    <w:rsid w:val="006D4D10"/>
    <w:rsid w:val="006D54CF"/>
    <w:rsid w:val="006E6AC3"/>
    <w:rsid w:val="006F00B1"/>
    <w:rsid w:val="006F0EC9"/>
    <w:rsid w:val="007030B4"/>
    <w:rsid w:val="00704C59"/>
    <w:rsid w:val="00714817"/>
    <w:rsid w:val="00726CDE"/>
    <w:rsid w:val="00727DA0"/>
    <w:rsid w:val="00731EA0"/>
    <w:rsid w:val="00732388"/>
    <w:rsid w:val="0074241B"/>
    <w:rsid w:val="00745905"/>
    <w:rsid w:val="007509B0"/>
    <w:rsid w:val="00750A0B"/>
    <w:rsid w:val="007544F6"/>
    <w:rsid w:val="00766ACE"/>
    <w:rsid w:val="00766F27"/>
    <w:rsid w:val="007721D9"/>
    <w:rsid w:val="00777915"/>
    <w:rsid w:val="007807F1"/>
    <w:rsid w:val="007809A4"/>
    <w:rsid w:val="0078114E"/>
    <w:rsid w:val="00786E4E"/>
    <w:rsid w:val="007879E8"/>
    <w:rsid w:val="007923B7"/>
    <w:rsid w:val="007946FF"/>
    <w:rsid w:val="00796ECA"/>
    <w:rsid w:val="00797A21"/>
    <w:rsid w:val="007A0693"/>
    <w:rsid w:val="007A1B25"/>
    <w:rsid w:val="007B42C4"/>
    <w:rsid w:val="007B4A21"/>
    <w:rsid w:val="007B58E0"/>
    <w:rsid w:val="007C3214"/>
    <w:rsid w:val="007D61E0"/>
    <w:rsid w:val="007E4256"/>
    <w:rsid w:val="007E4EE1"/>
    <w:rsid w:val="007E554B"/>
    <w:rsid w:val="007E6FF6"/>
    <w:rsid w:val="007F128C"/>
    <w:rsid w:val="007F3879"/>
    <w:rsid w:val="007F4D2C"/>
    <w:rsid w:val="008013DA"/>
    <w:rsid w:val="00803CDF"/>
    <w:rsid w:val="0080645D"/>
    <w:rsid w:val="00813BAB"/>
    <w:rsid w:val="008144EA"/>
    <w:rsid w:val="008266EE"/>
    <w:rsid w:val="008273C9"/>
    <w:rsid w:val="00830D5E"/>
    <w:rsid w:val="008355FB"/>
    <w:rsid w:val="0085130D"/>
    <w:rsid w:val="008521EC"/>
    <w:rsid w:val="008533C5"/>
    <w:rsid w:val="00863398"/>
    <w:rsid w:val="008639B7"/>
    <w:rsid w:val="00872A01"/>
    <w:rsid w:val="00873C38"/>
    <w:rsid w:val="00874BFF"/>
    <w:rsid w:val="00874CF4"/>
    <w:rsid w:val="00890760"/>
    <w:rsid w:val="0089138A"/>
    <w:rsid w:val="00894787"/>
    <w:rsid w:val="00895000"/>
    <w:rsid w:val="008A222D"/>
    <w:rsid w:val="008A25E9"/>
    <w:rsid w:val="008A327A"/>
    <w:rsid w:val="008A65A1"/>
    <w:rsid w:val="008B2219"/>
    <w:rsid w:val="008B24BF"/>
    <w:rsid w:val="008C1E1F"/>
    <w:rsid w:val="008C6248"/>
    <w:rsid w:val="008C712C"/>
    <w:rsid w:val="008D0789"/>
    <w:rsid w:val="008D5210"/>
    <w:rsid w:val="008D6AE1"/>
    <w:rsid w:val="008E5031"/>
    <w:rsid w:val="008F1E6E"/>
    <w:rsid w:val="008F529E"/>
    <w:rsid w:val="00900D4E"/>
    <w:rsid w:val="009033F0"/>
    <w:rsid w:val="00905E3A"/>
    <w:rsid w:val="00906C33"/>
    <w:rsid w:val="00911CAE"/>
    <w:rsid w:val="00911E05"/>
    <w:rsid w:val="00911EFA"/>
    <w:rsid w:val="009156DC"/>
    <w:rsid w:val="009169C4"/>
    <w:rsid w:val="00916E49"/>
    <w:rsid w:val="009225AF"/>
    <w:rsid w:val="00923A3D"/>
    <w:rsid w:val="00942014"/>
    <w:rsid w:val="009561E2"/>
    <w:rsid w:val="00961000"/>
    <w:rsid w:val="00961A81"/>
    <w:rsid w:val="009625F8"/>
    <w:rsid w:val="009672F3"/>
    <w:rsid w:val="00974BFE"/>
    <w:rsid w:val="00977119"/>
    <w:rsid w:val="0098152E"/>
    <w:rsid w:val="00983F09"/>
    <w:rsid w:val="009907C1"/>
    <w:rsid w:val="009A2780"/>
    <w:rsid w:val="009A55AA"/>
    <w:rsid w:val="009A702F"/>
    <w:rsid w:val="009B15B5"/>
    <w:rsid w:val="009C255E"/>
    <w:rsid w:val="009C59FF"/>
    <w:rsid w:val="009D11F1"/>
    <w:rsid w:val="009D1C4F"/>
    <w:rsid w:val="009D587B"/>
    <w:rsid w:val="009E0E57"/>
    <w:rsid w:val="009E56E3"/>
    <w:rsid w:val="009F0065"/>
    <w:rsid w:val="009F215C"/>
    <w:rsid w:val="009F58CE"/>
    <w:rsid w:val="009F69B0"/>
    <w:rsid w:val="009F7D20"/>
    <w:rsid w:val="00A03156"/>
    <w:rsid w:val="00A04F7C"/>
    <w:rsid w:val="00A04FD8"/>
    <w:rsid w:val="00A058A0"/>
    <w:rsid w:val="00A06823"/>
    <w:rsid w:val="00A1036A"/>
    <w:rsid w:val="00A159B3"/>
    <w:rsid w:val="00A20E85"/>
    <w:rsid w:val="00A23213"/>
    <w:rsid w:val="00A32656"/>
    <w:rsid w:val="00A352F0"/>
    <w:rsid w:val="00A35966"/>
    <w:rsid w:val="00A36981"/>
    <w:rsid w:val="00A41EE3"/>
    <w:rsid w:val="00A476D3"/>
    <w:rsid w:val="00A544F6"/>
    <w:rsid w:val="00A62457"/>
    <w:rsid w:val="00A70040"/>
    <w:rsid w:val="00A71667"/>
    <w:rsid w:val="00A73C65"/>
    <w:rsid w:val="00A749FB"/>
    <w:rsid w:val="00A75CCD"/>
    <w:rsid w:val="00A805B9"/>
    <w:rsid w:val="00A85AAF"/>
    <w:rsid w:val="00A93768"/>
    <w:rsid w:val="00A93DEE"/>
    <w:rsid w:val="00A94E58"/>
    <w:rsid w:val="00A95A78"/>
    <w:rsid w:val="00A95BCF"/>
    <w:rsid w:val="00AA1820"/>
    <w:rsid w:val="00AB1AFC"/>
    <w:rsid w:val="00AB26E1"/>
    <w:rsid w:val="00AB6C52"/>
    <w:rsid w:val="00AC5AD1"/>
    <w:rsid w:val="00AD0EA2"/>
    <w:rsid w:val="00AD1997"/>
    <w:rsid w:val="00AD7C31"/>
    <w:rsid w:val="00AE4CF9"/>
    <w:rsid w:val="00AE79CA"/>
    <w:rsid w:val="00AF13FC"/>
    <w:rsid w:val="00AF41A8"/>
    <w:rsid w:val="00AF6206"/>
    <w:rsid w:val="00B0401E"/>
    <w:rsid w:val="00B0669A"/>
    <w:rsid w:val="00B07AF0"/>
    <w:rsid w:val="00B16506"/>
    <w:rsid w:val="00B17288"/>
    <w:rsid w:val="00B23EB7"/>
    <w:rsid w:val="00B31523"/>
    <w:rsid w:val="00B375FE"/>
    <w:rsid w:val="00B40C79"/>
    <w:rsid w:val="00B438E6"/>
    <w:rsid w:val="00B450F2"/>
    <w:rsid w:val="00B61F24"/>
    <w:rsid w:val="00B6792A"/>
    <w:rsid w:val="00B72388"/>
    <w:rsid w:val="00B73194"/>
    <w:rsid w:val="00B74F73"/>
    <w:rsid w:val="00B768CF"/>
    <w:rsid w:val="00B77603"/>
    <w:rsid w:val="00B875E8"/>
    <w:rsid w:val="00B91681"/>
    <w:rsid w:val="00B92A4B"/>
    <w:rsid w:val="00B939BA"/>
    <w:rsid w:val="00B94DCB"/>
    <w:rsid w:val="00BA0B8C"/>
    <w:rsid w:val="00BA3101"/>
    <w:rsid w:val="00BA382A"/>
    <w:rsid w:val="00BA6D9D"/>
    <w:rsid w:val="00BA6DB4"/>
    <w:rsid w:val="00BB315E"/>
    <w:rsid w:val="00BB57C2"/>
    <w:rsid w:val="00BB5FC3"/>
    <w:rsid w:val="00BB64B1"/>
    <w:rsid w:val="00BC0044"/>
    <w:rsid w:val="00BD5D12"/>
    <w:rsid w:val="00BD6E52"/>
    <w:rsid w:val="00BD76CD"/>
    <w:rsid w:val="00BE75A6"/>
    <w:rsid w:val="00BF1113"/>
    <w:rsid w:val="00BF6DEF"/>
    <w:rsid w:val="00C02422"/>
    <w:rsid w:val="00C02D37"/>
    <w:rsid w:val="00C04914"/>
    <w:rsid w:val="00C050EF"/>
    <w:rsid w:val="00C12726"/>
    <w:rsid w:val="00C130AF"/>
    <w:rsid w:val="00C20CD5"/>
    <w:rsid w:val="00C21C40"/>
    <w:rsid w:val="00C231D3"/>
    <w:rsid w:val="00C31E1A"/>
    <w:rsid w:val="00C36E32"/>
    <w:rsid w:val="00C40398"/>
    <w:rsid w:val="00C42379"/>
    <w:rsid w:val="00C467B0"/>
    <w:rsid w:val="00C60DC5"/>
    <w:rsid w:val="00C6493E"/>
    <w:rsid w:val="00C64CC3"/>
    <w:rsid w:val="00C66A4A"/>
    <w:rsid w:val="00C747B6"/>
    <w:rsid w:val="00C829DB"/>
    <w:rsid w:val="00C84FE2"/>
    <w:rsid w:val="00C85A29"/>
    <w:rsid w:val="00C86492"/>
    <w:rsid w:val="00C8742A"/>
    <w:rsid w:val="00C93D78"/>
    <w:rsid w:val="00C94879"/>
    <w:rsid w:val="00C96CDB"/>
    <w:rsid w:val="00CA1C07"/>
    <w:rsid w:val="00CA640D"/>
    <w:rsid w:val="00CB0F43"/>
    <w:rsid w:val="00CB289F"/>
    <w:rsid w:val="00CB3368"/>
    <w:rsid w:val="00CB62C1"/>
    <w:rsid w:val="00CD12E3"/>
    <w:rsid w:val="00CD39DF"/>
    <w:rsid w:val="00CD3E0B"/>
    <w:rsid w:val="00CD50C8"/>
    <w:rsid w:val="00CD5BE0"/>
    <w:rsid w:val="00CE123C"/>
    <w:rsid w:val="00CE5BBA"/>
    <w:rsid w:val="00CE6DE0"/>
    <w:rsid w:val="00D01059"/>
    <w:rsid w:val="00D0434D"/>
    <w:rsid w:val="00D15721"/>
    <w:rsid w:val="00D17FFE"/>
    <w:rsid w:val="00D225CE"/>
    <w:rsid w:val="00D263F1"/>
    <w:rsid w:val="00D313A3"/>
    <w:rsid w:val="00D32C81"/>
    <w:rsid w:val="00D44AA0"/>
    <w:rsid w:val="00D56804"/>
    <w:rsid w:val="00D574CA"/>
    <w:rsid w:val="00D623A6"/>
    <w:rsid w:val="00D66019"/>
    <w:rsid w:val="00D81522"/>
    <w:rsid w:val="00D84194"/>
    <w:rsid w:val="00D94316"/>
    <w:rsid w:val="00D97A9D"/>
    <w:rsid w:val="00DA00A0"/>
    <w:rsid w:val="00DA4475"/>
    <w:rsid w:val="00DA5FF3"/>
    <w:rsid w:val="00DB0A37"/>
    <w:rsid w:val="00DB1670"/>
    <w:rsid w:val="00DC0AEB"/>
    <w:rsid w:val="00DC24CB"/>
    <w:rsid w:val="00DD14DC"/>
    <w:rsid w:val="00DD7C17"/>
    <w:rsid w:val="00DE0648"/>
    <w:rsid w:val="00DE3D54"/>
    <w:rsid w:val="00DE3E8D"/>
    <w:rsid w:val="00DE6D7A"/>
    <w:rsid w:val="00DF26C5"/>
    <w:rsid w:val="00DF4C0F"/>
    <w:rsid w:val="00DF540E"/>
    <w:rsid w:val="00E05F21"/>
    <w:rsid w:val="00E11771"/>
    <w:rsid w:val="00E11B95"/>
    <w:rsid w:val="00E11F7A"/>
    <w:rsid w:val="00E13D53"/>
    <w:rsid w:val="00E16355"/>
    <w:rsid w:val="00E17853"/>
    <w:rsid w:val="00E24D94"/>
    <w:rsid w:val="00E36B82"/>
    <w:rsid w:val="00E414C7"/>
    <w:rsid w:val="00E43C77"/>
    <w:rsid w:val="00E43E51"/>
    <w:rsid w:val="00E4409C"/>
    <w:rsid w:val="00E47FE0"/>
    <w:rsid w:val="00E5246A"/>
    <w:rsid w:val="00E54932"/>
    <w:rsid w:val="00E54997"/>
    <w:rsid w:val="00E55EB5"/>
    <w:rsid w:val="00E5676B"/>
    <w:rsid w:val="00E56A0E"/>
    <w:rsid w:val="00E623F9"/>
    <w:rsid w:val="00E63417"/>
    <w:rsid w:val="00E637B4"/>
    <w:rsid w:val="00E65D97"/>
    <w:rsid w:val="00E72512"/>
    <w:rsid w:val="00E72B2C"/>
    <w:rsid w:val="00E730FE"/>
    <w:rsid w:val="00E74737"/>
    <w:rsid w:val="00E819FF"/>
    <w:rsid w:val="00E81FFA"/>
    <w:rsid w:val="00E94062"/>
    <w:rsid w:val="00E97167"/>
    <w:rsid w:val="00EA04A3"/>
    <w:rsid w:val="00EA28C3"/>
    <w:rsid w:val="00EA4012"/>
    <w:rsid w:val="00EA460E"/>
    <w:rsid w:val="00EA5A07"/>
    <w:rsid w:val="00EA73C1"/>
    <w:rsid w:val="00EB0E48"/>
    <w:rsid w:val="00EB54F6"/>
    <w:rsid w:val="00EB73BE"/>
    <w:rsid w:val="00EC0F55"/>
    <w:rsid w:val="00EC28B6"/>
    <w:rsid w:val="00EC2A35"/>
    <w:rsid w:val="00ED26DA"/>
    <w:rsid w:val="00ED6081"/>
    <w:rsid w:val="00EE18CC"/>
    <w:rsid w:val="00EE195B"/>
    <w:rsid w:val="00EF7114"/>
    <w:rsid w:val="00EF7A4E"/>
    <w:rsid w:val="00F05BCC"/>
    <w:rsid w:val="00F10AC9"/>
    <w:rsid w:val="00F17D02"/>
    <w:rsid w:val="00F22976"/>
    <w:rsid w:val="00F2435A"/>
    <w:rsid w:val="00F352A5"/>
    <w:rsid w:val="00F352E5"/>
    <w:rsid w:val="00F36A0C"/>
    <w:rsid w:val="00F36D7D"/>
    <w:rsid w:val="00F37734"/>
    <w:rsid w:val="00F43CD1"/>
    <w:rsid w:val="00F44800"/>
    <w:rsid w:val="00F50376"/>
    <w:rsid w:val="00F620A6"/>
    <w:rsid w:val="00F63454"/>
    <w:rsid w:val="00F763E7"/>
    <w:rsid w:val="00F87672"/>
    <w:rsid w:val="00F87CB0"/>
    <w:rsid w:val="00F913BC"/>
    <w:rsid w:val="00FA48C3"/>
    <w:rsid w:val="00FA4934"/>
    <w:rsid w:val="00FC2DD7"/>
    <w:rsid w:val="00FD5688"/>
    <w:rsid w:val="00FE51AF"/>
    <w:rsid w:val="00FF005B"/>
    <w:rsid w:val="00FF2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7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character" w:styleId="PageNumber">
    <w:name w:val="page number"/>
    <w:basedOn w:val="DefaultParagraphFont"/>
    <w:uiPriority w:val="99"/>
    <w:semiHidden/>
    <w:unhideWhenUsed/>
    <w:rsid w:val="00DA00A0"/>
  </w:style>
  <w:style w:type="paragraph" w:customStyle="1" w:styleId="References">
    <w:name w:val="References"/>
    <w:basedOn w:val="Normal"/>
    <w:qFormat/>
    <w:rsid w:val="00DE6D7A"/>
    <w:pPr>
      <w:numPr>
        <w:numId w:val="4"/>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44729875">
      <w:bodyDiv w:val="1"/>
      <w:marLeft w:val="0"/>
      <w:marRight w:val="0"/>
      <w:marTop w:val="0"/>
      <w:marBottom w:val="0"/>
      <w:divBdr>
        <w:top w:val="none" w:sz="0" w:space="0" w:color="auto"/>
        <w:left w:val="none" w:sz="0" w:space="0" w:color="auto"/>
        <w:bottom w:val="none" w:sz="0" w:space="0" w:color="auto"/>
        <w:right w:val="none" w:sz="0" w:space="0" w:color="auto"/>
      </w:divBdr>
      <w:divsChild>
        <w:div w:id="1635061846">
          <w:marLeft w:val="0"/>
          <w:marRight w:val="0"/>
          <w:marTop w:val="0"/>
          <w:marBottom w:val="0"/>
          <w:divBdr>
            <w:top w:val="none" w:sz="0" w:space="0" w:color="auto"/>
            <w:left w:val="none" w:sz="0" w:space="0" w:color="auto"/>
            <w:bottom w:val="none" w:sz="0" w:space="0" w:color="auto"/>
            <w:right w:val="none" w:sz="0" w:space="0" w:color="auto"/>
          </w:divBdr>
        </w:div>
        <w:div w:id="1280182050">
          <w:marLeft w:val="0"/>
          <w:marRight w:val="0"/>
          <w:marTop w:val="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8228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394</cp:revision>
  <dcterms:created xsi:type="dcterms:W3CDTF">2020-02-04T02:31:00Z</dcterms:created>
  <dcterms:modified xsi:type="dcterms:W3CDTF">2021-01-16T17:13:00Z</dcterms:modified>
</cp:coreProperties>
</file>